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5A" w:rsidRPr="00267D0C" w:rsidRDefault="00C57F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lang w:val="pt-PT"/>
        </w:rPr>
      </w:pPr>
    </w:p>
    <w:tbl>
      <w:tblPr>
        <w:tblStyle w:val="a"/>
        <w:tblW w:w="9905" w:type="dxa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05"/>
      </w:tblGrid>
      <w:tr w:rsidR="00C57F5A" w:rsidRPr="00267D0C">
        <w:trPr>
          <w:trHeight w:val="1440"/>
          <w:jc w:val="center"/>
        </w:trPr>
        <w:tc>
          <w:tcPr>
            <w:tcW w:w="9905" w:type="dxa"/>
            <w:tcBorders>
              <w:top w:val="single" w:sz="4" w:space="0" w:color="31849B"/>
              <w:bottom w:val="single" w:sz="4" w:space="0" w:color="31849B"/>
            </w:tcBorders>
            <w:vAlign w:val="center"/>
          </w:tcPr>
          <w:p w:rsidR="00C57F5A" w:rsidRPr="00267D0C" w:rsidRDefault="0043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rme" w:eastAsia="Carme" w:hAnsi="Carme" w:cs="Carme"/>
                <w:color w:val="038E9A"/>
                <w:sz w:val="46"/>
                <w:szCs w:val="46"/>
                <w:lang w:val="pt-PT"/>
              </w:rPr>
            </w:pPr>
            <w:r w:rsidRPr="00267D0C">
              <w:rPr>
                <w:rFonts w:ascii="Carme" w:eastAsia="Carme" w:hAnsi="Carme" w:cs="Carme"/>
                <w:color w:val="038E9A"/>
                <w:sz w:val="46"/>
                <w:szCs w:val="46"/>
                <w:lang w:val="pt-PT"/>
              </w:rPr>
              <w:t>Eleições para o Parlamento Europeu 2019 – Questionário ECF e Compromisso</w:t>
            </w:r>
          </w:p>
        </w:tc>
      </w:tr>
    </w:tbl>
    <w:p w:rsidR="00C57F5A" w:rsidRPr="00267D0C" w:rsidRDefault="00C57F5A">
      <w:pPr>
        <w:rPr>
          <w:rFonts w:ascii="Carme" w:eastAsia="Carme" w:hAnsi="Carme" w:cs="Carme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rme" w:eastAsia="Carme" w:hAnsi="Carme" w:cs="Carme"/>
          <w:color w:val="038E9A"/>
          <w:sz w:val="32"/>
          <w:szCs w:val="32"/>
          <w:lang w:val="pt-PT"/>
        </w:rPr>
      </w:pPr>
      <w:r w:rsidRPr="00267D0C">
        <w:rPr>
          <w:rFonts w:ascii="Carme" w:eastAsia="Carme" w:hAnsi="Carme" w:cs="Carme"/>
          <w:color w:val="038E9A"/>
          <w:sz w:val="32"/>
          <w:szCs w:val="32"/>
          <w:lang w:val="pt-PT"/>
        </w:rPr>
        <w:t>Questionário: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A utilização da bicicleta poderá contribuir de forma determinante para o desenvolvimento futuro das regiões e cidades europeias. As boas notícias: o potencial de crescimento desta utilização é enorme. No caso Holandês, a repartição modal das deslocações em bicicleta é de 27%, quatro vezes superior à média europeia. Se este potencial for desbloqueado e replicado pelo continente europeu, purificaremos o ar das nossas cidades, iremos descarbonizar o sector dos transportes, promoveremos milhões de cidadãos europeus fisicamente activos – e criaremos centenas de milhares de novos postos de trabalho. A ECF (</w:t>
      </w:r>
      <w:r w:rsidRPr="00267D0C">
        <w:rPr>
          <w:rFonts w:ascii="Carme" w:eastAsia="Carme" w:hAnsi="Carme" w:cs="Carme"/>
          <w:i/>
          <w:sz w:val="20"/>
          <w:szCs w:val="20"/>
          <w:lang w:val="pt-PT"/>
        </w:rPr>
        <w:t>European Cyclists’ Federation</w:t>
      </w:r>
      <w:r w:rsidRPr="00267D0C">
        <w:rPr>
          <w:rFonts w:ascii="Carme" w:eastAsia="Carme" w:hAnsi="Carme" w:cs="Carme"/>
          <w:sz w:val="20"/>
          <w:szCs w:val="20"/>
          <w:lang w:val="pt-PT"/>
        </w:rPr>
        <w:t xml:space="preserve">), beneficiando do contributo de mais de 1000 cidadãos e organizações parceiras, elaborou a </w:t>
      </w:r>
      <w:r w:rsidRPr="00267D0C">
        <w:rPr>
          <w:rFonts w:ascii="Carme" w:eastAsia="Carme" w:hAnsi="Carme" w:cs="Carme"/>
          <w:i/>
          <w:sz w:val="20"/>
          <w:szCs w:val="20"/>
          <w:lang w:val="pt-PT"/>
        </w:rPr>
        <w:t>‘EU cycling strategy</w:t>
      </w:r>
      <w:r w:rsidRPr="00267D0C">
        <w:rPr>
          <w:rFonts w:ascii="Carme" w:eastAsia="Carme" w:hAnsi="Carme" w:cs="Carme"/>
          <w:sz w:val="20"/>
          <w:szCs w:val="20"/>
          <w:lang w:val="pt-PT"/>
        </w:rPr>
        <w:t>’ (EUCS) - Estratégia Europeia para a Utilização da Bicicleta. A EUCS é o resultado da revisão sistemática de todas as áreas políticas da competência da União Europeia (UE) e define como a UE pode agir para promover a utilização da bicicleta.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O Parlamento Europeu (PE) tem frequentemente sido um apoiante e defensor convicto da utilização da bicicleta. A título de exemplo, em 2018, o PE votou favoravelmente a dotação mínima de 8 lugares dedicados à bicicleta em cada comboio novo ou remodelado, em circulação na Europa.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 xml:space="preserve">Será o Senhor/ a Senhora, também um(a) apoiante da utilização da bicicleta se for eleito(a) como Deputado do Parlamento Europeu? Por favor, preencha este curto questionário e subscreva o compromisso “Pedalar para todos”, </w:t>
      </w:r>
      <w:r w:rsidRPr="00267D0C">
        <w:rPr>
          <w:rFonts w:ascii="Carme" w:eastAsia="Carme" w:hAnsi="Carme" w:cs="Carme"/>
          <w:i/>
          <w:sz w:val="20"/>
          <w:szCs w:val="20"/>
          <w:lang w:val="pt-PT"/>
        </w:rPr>
        <w:t>Cycling for All</w:t>
      </w:r>
      <w:r w:rsidRPr="00267D0C">
        <w:rPr>
          <w:rFonts w:ascii="Carme" w:eastAsia="Carme" w:hAnsi="Carme" w:cs="Carme"/>
          <w:sz w:val="20"/>
          <w:szCs w:val="20"/>
          <w:lang w:val="pt-PT"/>
        </w:rPr>
        <w:t xml:space="preserve"> !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b/>
          <w:sz w:val="20"/>
          <w:szCs w:val="20"/>
          <w:lang w:val="pt-PT"/>
        </w:rPr>
        <w:lastRenderedPageBreak/>
        <w:t>Nome próprio:</w:t>
      </w:r>
    </w:p>
    <w:p w:rsidR="00C57F5A" w:rsidRPr="00267D0C" w:rsidRDefault="00C57F5A">
      <w:pPr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b/>
          <w:sz w:val="20"/>
          <w:szCs w:val="20"/>
          <w:lang w:val="pt-PT"/>
        </w:rPr>
        <w:t>Apelido:</w:t>
      </w:r>
    </w:p>
    <w:p w:rsidR="00C57F5A" w:rsidRPr="00267D0C" w:rsidRDefault="00C57F5A">
      <w:pPr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b/>
          <w:sz w:val="20"/>
          <w:szCs w:val="20"/>
          <w:lang w:val="pt-PT"/>
        </w:rPr>
        <w:t>País:</w:t>
      </w:r>
    </w:p>
    <w:p w:rsidR="00C57F5A" w:rsidRPr="00267D0C" w:rsidRDefault="00C57F5A">
      <w:pPr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b/>
          <w:sz w:val="20"/>
          <w:szCs w:val="20"/>
          <w:lang w:val="pt-PT"/>
        </w:rPr>
        <w:t>Grupo Político do Parlamento Europeu:</w:t>
      </w:r>
    </w:p>
    <w:p w:rsidR="00C57F5A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46060A" w:rsidRPr="00267D0C" w:rsidRDefault="004606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b/>
          <w:sz w:val="20"/>
          <w:szCs w:val="20"/>
          <w:lang w:val="pt-PT"/>
        </w:rPr>
        <w:t>P1 Considera que a UE deveria estabelecer um objectivo de aumentar o número de deslocações em bicicleta?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 xml:space="preserve">Nota: A UE, actualmente, não estabeleceu qualquer meta para aumentar a frequência da utilização da bicicleta e ainda carece de passos significativos na elaboração de uma estratégia europeia para a utilização da bicicleta. Esta realidade persiste apesar de apelos de ministros nacionais, do Parlamento Europeu e do Comité das Regiões, para a definição de </w:t>
      </w:r>
      <w:r w:rsidR="00267D0C" w:rsidRPr="00267D0C">
        <w:rPr>
          <w:rFonts w:ascii="Carme" w:eastAsia="Carme" w:hAnsi="Carme" w:cs="Carme"/>
          <w:sz w:val="20"/>
          <w:szCs w:val="20"/>
          <w:lang w:val="pt-PT"/>
        </w:rPr>
        <w:t>objectivos</w:t>
      </w:r>
      <w:r w:rsidRPr="00267D0C">
        <w:rPr>
          <w:rFonts w:ascii="Carme" w:eastAsia="Carme" w:hAnsi="Carme" w:cs="Carme"/>
          <w:sz w:val="20"/>
          <w:szCs w:val="20"/>
          <w:lang w:val="pt-PT"/>
        </w:rPr>
        <w:t xml:space="preserve"> de transferência modal, e para a criação de um quadro Europeu coerente de apoio à utilização da bicicleta.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a)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Sim, a UE deveria definir o objectivo de aumentar a utilização da bicicleta em 50%, até 2030.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b)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 xml:space="preserve">Sim, a UE deveria definir o </w:t>
      </w:r>
      <w:r w:rsidR="00267D0C" w:rsidRPr="00267D0C">
        <w:rPr>
          <w:rFonts w:ascii="Carme" w:eastAsia="Carme" w:hAnsi="Carme" w:cs="Carme"/>
          <w:sz w:val="20"/>
          <w:szCs w:val="20"/>
          <w:lang w:val="pt-PT"/>
        </w:rPr>
        <w:t>objectivo</w:t>
      </w:r>
      <w:r w:rsidRPr="00267D0C">
        <w:rPr>
          <w:rFonts w:ascii="Carme" w:eastAsia="Carme" w:hAnsi="Carme" w:cs="Carme"/>
          <w:sz w:val="20"/>
          <w:szCs w:val="20"/>
          <w:lang w:val="pt-PT"/>
        </w:rPr>
        <w:t xml:space="preserve"> de aumentar a utilização da bicicleta em 100 %, até 2030.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c)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A UE deveria assumir o compromisso de aumentar a utilização da bicicleta sem definir uma meta.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d)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Não, a UE não deveria assumir qualquer compromisso de transferência modal.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e)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Não sabe/ Não responde.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b/>
          <w:sz w:val="20"/>
          <w:szCs w:val="20"/>
          <w:lang w:val="pt-PT"/>
        </w:rPr>
        <w:t xml:space="preserve">P2 Deveria a UE estabelecer como obrigatória a </w:t>
      </w:r>
      <w:r w:rsidRPr="00267D0C">
        <w:rPr>
          <w:rFonts w:ascii="Carme" w:eastAsia="Carme" w:hAnsi="Carme" w:cs="Carme"/>
          <w:b/>
          <w:i/>
          <w:sz w:val="20"/>
          <w:szCs w:val="20"/>
          <w:lang w:val="pt-PT"/>
        </w:rPr>
        <w:t xml:space="preserve">Intelligent Speed Assistance </w:t>
      </w:r>
      <w:r w:rsidRPr="00267D0C">
        <w:rPr>
          <w:rFonts w:ascii="Carme" w:eastAsia="Carme" w:hAnsi="Carme" w:cs="Carme"/>
          <w:b/>
          <w:sz w:val="20"/>
          <w:szCs w:val="20"/>
          <w:lang w:val="pt-PT"/>
        </w:rPr>
        <w:t>(ISA), Assistência Inteligente de Velocidade, em todos os novos veículos motorizados, tornando</w:t>
      </w:r>
      <w:r w:rsidR="00267D0C">
        <w:rPr>
          <w:rFonts w:ascii="Carme" w:eastAsia="Carme" w:hAnsi="Carme" w:cs="Carme"/>
          <w:b/>
          <w:sz w:val="20"/>
          <w:szCs w:val="20"/>
          <w:lang w:val="pt-PT"/>
        </w:rPr>
        <w:t xml:space="preserve">-os mais seguros para os peões </w:t>
      </w:r>
      <w:r w:rsidRPr="00267D0C">
        <w:rPr>
          <w:rFonts w:ascii="Carme" w:eastAsia="Carme" w:hAnsi="Carme" w:cs="Carme"/>
          <w:b/>
          <w:sz w:val="20"/>
          <w:szCs w:val="20"/>
          <w:lang w:val="pt-PT"/>
        </w:rPr>
        <w:t>e utilizadores de bicicleta?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lastRenderedPageBreak/>
        <w:t xml:space="preserve">Nota: A ISA é uma tecnologia actualmente instalada em vários veículos de gama alta que ajuda os condutores a permanecer abaixo do limite de velocidade legalmente permitido. O veículo utiliza monitorização por </w:t>
      </w:r>
      <w:r w:rsidRPr="00267D0C">
        <w:rPr>
          <w:rFonts w:ascii="Carme" w:eastAsia="Carme" w:hAnsi="Carme" w:cs="Carme"/>
          <w:i/>
          <w:sz w:val="20"/>
          <w:szCs w:val="20"/>
          <w:lang w:val="pt-PT"/>
        </w:rPr>
        <w:t xml:space="preserve">GPS </w:t>
      </w:r>
      <w:r w:rsidRPr="00267D0C">
        <w:rPr>
          <w:rFonts w:ascii="Carme" w:eastAsia="Carme" w:hAnsi="Carme" w:cs="Carme"/>
          <w:sz w:val="20"/>
          <w:szCs w:val="20"/>
          <w:lang w:val="pt-PT"/>
        </w:rPr>
        <w:t xml:space="preserve">ou tecnologias de sensores por </w:t>
      </w:r>
      <w:r w:rsidR="00267D0C" w:rsidRPr="00267D0C">
        <w:rPr>
          <w:rFonts w:ascii="Carme" w:eastAsia="Carme" w:hAnsi="Carme" w:cs="Carme"/>
          <w:sz w:val="20"/>
          <w:szCs w:val="20"/>
          <w:lang w:val="pt-PT"/>
        </w:rPr>
        <w:t>câmaras</w:t>
      </w:r>
      <w:r w:rsidRPr="00267D0C">
        <w:rPr>
          <w:rFonts w:ascii="Carme" w:eastAsia="Carme" w:hAnsi="Carme" w:cs="Carme"/>
          <w:sz w:val="20"/>
          <w:szCs w:val="20"/>
          <w:lang w:val="pt-PT"/>
        </w:rPr>
        <w:t xml:space="preserve"> para reconhecimento do limite de velocidade a cada momento. Investigação conduzida nesta área sugere que a ISA poderia reduzir a mortalidade rodoviária total entre 21% e 46% por ano, em função do modelo de ISA utilizado. Esta redução é superior ao impacto das leis de introdução da obrigatoriedade do uso do cinto de segurança.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a)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 xml:space="preserve">Sim, mas o sistema ISA deveria cingir-se a fornecer </w:t>
      </w:r>
      <w:r w:rsidRPr="00267D0C">
        <w:rPr>
          <w:rFonts w:ascii="Carme" w:eastAsia="Carme" w:hAnsi="Carme" w:cs="Carme"/>
          <w:i/>
          <w:sz w:val="20"/>
          <w:szCs w:val="20"/>
          <w:lang w:val="pt-PT"/>
        </w:rPr>
        <w:t>feedback</w:t>
      </w:r>
      <w:r w:rsidRPr="00267D0C">
        <w:rPr>
          <w:rFonts w:ascii="Carme" w:eastAsia="Carme" w:hAnsi="Carme" w:cs="Carme"/>
          <w:sz w:val="20"/>
          <w:szCs w:val="20"/>
          <w:lang w:val="pt-PT"/>
        </w:rPr>
        <w:t xml:space="preserve"> ao condutor através do pedal acelerador, à medida que o veículo se aproxima do limite de velocidade.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b)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Sim, um sistema ISA completo que limite a velocidade dos veículos à permitida por lei.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c)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Não, um sistema de informação de limite de velocidade que avise o condutor quando este circule acima do limite permitido é suficiente.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d)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Não, não é importante a implementação desta tecnologia em todos os veículos motorizados.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e)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Não sabe/ Não responde.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b/>
          <w:sz w:val="20"/>
          <w:szCs w:val="20"/>
          <w:lang w:val="pt-PT"/>
        </w:rPr>
        <w:t>P3 Deveria a UE investir uma proporção superior do seu orçamento para transportes em projectos para a utilização da bicicleta, durante o próximo Quadro de Financiamento Plurianual (2021 - 2027)</w:t>
      </w:r>
      <w:r w:rsidR="00267D0C">
        <w:rPr>
          <w:rFonts w:ascii="Carme" w:eastAsia="Carme" w:hAnsi="Carme" w:cs="Carme"/>
          <w:b/>
          <w:sz w:val="20"/>
          <w:szCs w:val="20"/>
          <w:lang w:val="pt-PT"/>
        </w:rPr>
        <w:t xml:space="preserve">? </w:t>
      </w:r>
      <w:r w:rsidRPr="00267D0C">
        <w:rPr>
          <w:rFonts w:ascii="Carme" w:eastAsia="Carme" w:hAnsi="Carme" w:cs="Carme"/>
          <w:b/>
          <w:sz w:val="20"/>
          <w:szCs w:val="20"/>
          <w:lang w:val="pt-PT"/>
        </w:rPr>
        <w:t>Esta despesa será aproximadamente 1,5 % entre 2014 e 2020.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 xml:space="preserve">Nota: 8% das pessoas da UE usam a bicicleta como principal meio de transporte, no entanto apenas 1,5% dos 100 mil milhões do orçamento da UE para transportes é investido em projectos para a utilização da bicicleta. 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a)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Não, 1,5% é apropriado.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b)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Sim, 3%.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lastRenderedPageBreak/>
        <w:t>c)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Sim, pelo menos 10%.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d)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Não, a UE deveria investir menos na utilização da bicicleta.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e)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Não sabe/ Não responde.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b/>
          <w:sz w:val="20"/>
          <w:szCs w:val="20"/>
          <w:lang w:val="pt-PT"/>
        </w:rPr>
      </w:pPr>
      <w:r w:rsidRPr="00267D0C">
        <w:rPr>
          <w:rFonts w:ascii="Carme" w:eastAsia="Carme" w:hAnsi="Carme" w:cs="Carme"/>
          <w:b/>
          <w:sz w:val="20"/>
          <w:szCs w:val="20"/>
          <w:lang w:val="pt-PT"/>
        </w:rPr>
        <w:t>P4 Deveri</w:t>
      </w:r>
      <w:r w:rsidR="00267D0C">
        <w:rPr>
          <w:rFonts w:ascii="Carme" w:eastAsia="Carme" w:hAnsi="Carme" w:cs="Carme"/>
          <w:b/>
          <w:sz w:val="20"/>
          <w:szCs w:val="20"/>
          <w:lang w:val="pt-PT"/>
        </w:rPr>
        <w:t xml:space="preserve">a a UE </w:t>
      </w:r>
      <w:r w:rsidRPr="00267D0C">
        <w:rPr>
          <w:rFonts w:ascii="Carme" w:eastAsia="Carme" w:hAnsi="Carme" w:cs="Carme"/>
          <w:b/>
          <w:sz w:val="20"/>
          <w:szCs w:val="20"/>
          <w:lang w:val="pt-PT"/>
        </w:rPr>
        <w:t>ter padrões e directrizes (</w:t>
      </w:r>
      <w:r w:rsidRPr="00267D0C">
        <w:rPr>
          <w:rFonts w:ascii="Carme" w:eastAsia="Carme" w:hAnsi="Carme" w:cs="Carme"/>
          <w:b/>
          <w:i/>
          <w:sz w:val="20"/>
          <w:szCs w:val="20"/>
          <w:lang w:val="pt-PT"/>
        </w:rPr>
        <w:t>standards/guidelines</w:t>
      </w:r>
      <w:r w:rsidRPr="00267D0C">
        <w:rPr>
          <w:rFonts w:ascii="Carme" w:eastAsia="Carme" w:hAnsi="Carme" w:cs="Carme"/>
          <w:b/>
          <w:sz w:val="20"/>
          <w:szCs w:val="20"/>
          <w:lang w:val="pt-PT"/>
        </w:rPr>
        <w:t>) de qualidade para o planeamento, projecto e construção de infraestrutura para a circulação de bicicletas e de apoio à sua utilização?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b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 xml:space="preserve">Nota: A UE não dispõe actualmente de padrões mínimos de qualidade para infraestruturas para a bicicleta. Alguns Estados Membros não têm regulamentação apropriada para estas infraestruturas, nomeadamente no que respeita à largura das vias, visibilidade, sinalização e outras variáveis. Uma das consequências dramáticas é o desperdício de significativos recursos de financiamento europeu aplicado em infraestrutura que não é segura para o seu uso (por exemplo, inexistência de visibilidade entre ciclistas e automobilistas em </w:t>
      </w:r>
      <w:r w:rsidR="00267D0C" w:rsidRPr="00267D0C">
        <w:rPr>
          <w:rFonts w:ascii="Carme" w:eastAsia="Carme" w:hAnsi="Carme" w:cs="Carme"/>
          <w:sz w:val="20"/>
          <w:szCs w:val="20"/>
          <w:lang w:val="pt-PT"/>
        </w:rPr>
        <w:t>intersecções</w:t>
      </w:r>
      <w:r w:rsidRPr="00267D0C">
        <w:rPr>
          <w:rFonts w:ascii="Carme" w:eastAsia="Carme" w:hAnsi="Carme" w:cs="Carme"/>
          <w:sz w:val="20"/>
          <w:szCs w:val="20"/>
          <w:lang w:val="pt-PT"/>
        </w:rPr>
        <w:t>) ou a criação de novas barreiras/ obstáculos à utilização da bicicleta (por exemplo, uma via rápida ou auto-estrada que interrompe a continuidade de uma via ciclável de ligação dos subúrbios com o centro da cidade).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a)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Sim, obrigatório para toda a nova infraestrutura de transportes implementada na UE.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b)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Sim, mas obrigatória apenas para nova infraestrutura de transportes financiada pela UE.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c)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Sim, mas como orientações não vinculativas.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d)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Não, os Estados Membros sabem como planear e projectar infraestrutura adequada para a utilização da bicicleta.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e)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Não sabe/ Não responde.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b/>
          <w:sz w:val="20"/>
          <w:szCs w:val="20"/>
          <w:lang w:val="pt-PT"/>
        </w:rPr>
        <w:t>P5 Devem as bicicletas com assistência eléctrica ser classificadas como equivalentes a bicicletas convencionais ou encaradas como veículos motorizados?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lastRenderedPageBreak/>
        <w:t>Nota: Mais de 95% de todas as bicicletas com assistência eléctrica vendidas na Europa são do tipo Pedelec-25 (bicicletas com assistência eléctrica, proporcionando uma potência de apoio máxima de 250 watt até aos 25 km/h e apenas enquanto o utilizador pedala). Actualmente, os Estados Membros tratam-nas como bicicletas convencionais. Os veículos motorizados exigem seguro, uma licença de condução e um registo do mesmo. A mesma exigência aplicada às bicicletas Pedelec-25 teria um efeito muito negativo no número de pessoas utilizadoras da bicicleta.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a)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 xml:space="preserve">As bicicletas Pedelec-25 devem ser tratadas como bicicletas convencionais. 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b)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As bicicletas Pedelec-25 têm um motor de apoio e, como tal, d</w:t>
      </w:r>
      <w:r w:rsidR="00267D0C">
        <w:rPr>
          <w:rFonts w:ascii="Carme" w:eastAsia="Carme" w:hAnsi="Carme" w:cs="Carme"/>
          <w:sz w:val="20"/>
          <w:szCs w:val="20"/>
          <w:lang w:val="pt-PT"/>
        </w:rPr>
        <w:t xml:space="preserve">everiam ser classificadas como </w:t>
      </w:r>
      <w:r w:rsidRPr="00267D0C">
        <w:rPr>
          <w:rFonts w:ascii="Carme" w:eastAsia="Carme" w:hAnsi="Carme" w:cs="Carme"/>
          <w:sz w:val="20"/>
          <w:szCs w:val="20"/>
          <w:lang w:val="pt-PT"/>
        </w:rPr>
        <w:t>veículos motorizados.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c)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Não sabe/ Não responde.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bookmarkStart w:id="0" w:name="_GoBack"/>
      <w:bookmarkEnd w:id="0"/>
      <w:r w:rsidRPr="00267D0C">
        <w:rPr>
          <w:rFonts w:ascii="Carme" w:eastAsia="Carme" w:hAnsi="Carme" w:cs="Carme"/>
          <w:b/>
          <w:sz w:val="20"/>
          <w:szCs w:val="20"/>
          <w:lang w:val="pt-PT"/>
        </w:rPr>
        <w:t>Questões pessoais: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b/>
          <w:sz w:val="20"/>
          <w:szCs w:val="20"/>
          <w:lang w:val="pt-PT"/>
        </w:rPr>
        <w:t>PA Com que frequência usa a bicicleta?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a)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Pelo menos uma vez por dia.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b)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Algumas vezes por semana.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c)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Algumas vezes por mês ou menos.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d)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Nunca.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e)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Não sabe/ Não responde.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 xml:space="preserve">Nota: Esta questão foi colocada no Eurobarómetro 406 de 2013. Neste questionário verificou-se que 12% dos cidadãos europeus utilizavam a bicicleta pelo menos uma vez por dia. 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b/>
          <w:sz w:val="20"/>
          <w:szCs w:val="20"/>
          <w:lang w:val="pt-PT"/>
        </w:rPr>
      </w:pPr>
      <w:r w:rsidRPr="00267D0C">
        <w:rPr>
          <w:rFonts w:ascii="Carme" w:eastAsia="Carme" w:hAnsi="Carme" w:cs="Carme"/>
          <w:b/>
          <w:sz w:val="20"/>
          <w:szCs w:val="20"/>
          <w:lang w:val="pt-PT"/>
        </w:rPr>
        <w:t>PB Utilizaria com mais frequência a bicicleta se as condições para tal fossem mais seguras e convenientes?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b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a)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Sim, muito mais.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b)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Sim, um pouco mais.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c)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Não.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lastRenderedPageBreak/>
        <w:t>d)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Não sabe/ Não responde.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b/>
          <w:sz w:val="20"/>
          <w:szCs w:val="20"/>
          <w:lang w:val="pt-PT"/>
        </w:rPr>
        <w:t>PC Apoiaria a formação de um grupo parlamentar de promoção da utilização da bicicleta no próximo Parlamento Europeu?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Nota: A ECF trabalhou com vários Deputados do Parlamento Europeu, no mandato parlamentar cessante. A organização de um grupo informal para trabalhar na área da utilização da bicicleta no período 2019 - 2024 foi apontada à ECF por vários Deputados, como uma medida geradora de valor. Este grupo facilitaria e reuniria os esforços dos Deputados do Parlamento Europeu, promovendo uma aliança alargada em torno da utilização da bicicleta e uma maior visibilidade deste tema, no âmbito do parlamento.</w:t>
      </w:r>
    </w:p>
    <w:p w:rsidR="00C57F5A" w:rsidRPr="00267D0C" w:rsidRDefault="00C57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a)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Sim.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b)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Não.</w:t>
      </w: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c)</w:t>
      </w:r>
      <w:r w:rsidRPr="00267D0C">
        <w:rPr>
          <w:rFonts w:ascii="Carme" w:eastAsia="Carme" w:hAnsi="Carme" w:cs="Carme"/>
          <w:sz w:val="20"/>
          <w:szCs w:val="20"/>
          <w:lang w:val="pt-PT"/>
        </w:rPr>
        <w:tab/>
        <w:t>Preciso de mais informação.</w:t>
      </w:r>
    </w:p>
    <w:p w:rsidR="00C57F5A" w:rsidRPr="00267D0C" w:rsidRDefault="00C57F5A">
      <w:pPr>
        <w:rPr>
          <w:sz w:val="22"/>
          <w:szCs w:val="22"/>
          <w:lang w:val="pt-PT"/>
        </w:rPr>
      </w:pPr>
    </w:p>
    <w:p w:rsidR="00C57F5A" w:rsidRPr="00267D0C" w:rsidRDefault="00436D9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rme" w:eastAsia="Carme" w:hAnsi="Carme" w:cs="Carme"/>
          <w:color w:val="038E9A"/>
          <w:sz w:val="32"/>
          <w:szCs w:val="32"/>
          <w:lang w:val="pt-PT"/>
        </w:rPr>
      </w:pPr>
      <w:r w:rsidRPr="00267D0C">
        <w:rPr>
          <w:rFonts w:ascii="Carme" w:eastAsia="Carme" w:hAnsi="Carme" w:cs="Carme"/>
          <w:i/>
          <w:color w:val="038E9A"/>
          <w:sz w:val="32"/>
          <w:szCs w:val="32"/>
          <w:lang w:val="pt-PT"/>
        </w:rPr>
        <w:t>Compromisso “Pedalar para Todos” (Cycling for All</w:t>
      </w:r>
      <w:r w:rsidRPr="00267D0C">
        <w:rPr>
          <w:rFonts w:ascii="Carme" w:eastAsia="Carme" w:hAnsi="Carme" w:cs="Carme"/>
          <w:color w:val="038E9A"/>
          <w:sz w:val="32"/>
          <w:szCs w:val="32"/>
          <w:lang w:val="pt-PT"/>
        </w:rPr>
        <w:t xml:space="preserve"> </w:t>
      </w:r>
      <w:r w:rsidRPr="00267D0C">
        <w:rPr>
          <w:rFonts w:ascii="Carme" w:eastAsia="Carme" w:hAnsi="Carme" w:cs="Carme"/>
          <w:i/>
          <w:color w:val="038E9A"/>
          <w:sz w:val="32"/>
          <w:szCs w:val="32"/>
          <w:lang w:val="pt-PT"/>
        </w:rPr>
        <w:t>pledge</w:t>
      </w:r>
      <w:r w:rsidRPr="00267D0C">
        <w:rPr>
          <w:rFonts w:ascii="Carme" w:eastAsia="Carme" w:hAnsi="Carme" w:cs="Carme"/>
          <w:color w:val="038E9A"/>
          <w:sz w:val="32"/>
          <w:szCs w:val="32"/>
          <w:lang w:val="pt-PT"/>
        </w:rPr>
        <w:t>):</w:t>
      </w:r>
    </w:p>
    <w:p w:rsidR="00C57F5A" w:rsidRPr="00267D0C" w:rsidRDefault="00C57F5A">
      <w:pPr>
        <w:rPr>
          <w:rFonts w:ascii="Carme" w:eastAsia="Carme" w:hAnsi="Carme" w:cs="Carme"/>
          <w:sz w:val="20"/>
          <w:szCs w:val="20"/>
          <w:lang w:val="pt-PT"/>
        </w:rPr>
      </w:pPr>
    </w:p>
    <w:p w:rsidR="00C57F5A" w:rsidRPr="00267D0C" w:rsidRDefault="00436D9D">
      <w:pPr>
        <w:spacing w:line="360" w:lineRule="auto"/>
        <w:jc w:val="both"/>
        <w:rPr>
          <w:rFonts w:ascii="Carme" w:eastAsia="Carme" w:hAnsi="Carme" w:cs="Carme"/>
          <w:sz w:val="20"/>
          <w:szCs w:val="20"/>
          <w:lang w:val="pt-PT"/>
        </w:rPr>
      </w:pPr>
      <w:r w:rsidRPr="00267D0C">
        <w:rPr>
          <w:rFonts w:ascii="Carme" w:eastAsia="Carme" w:hAnsi="Carme" w:cs="Carme"/>
          <w:sz w:val="20"/>
          <w:szCs w:val="20"/>
          <w:lang w:val="pt-PT"/>
        </w:rPr>
        <w:t>“Comprometo-me a apoiar a causa da utilização da bicicleta durante o mandat</w:t>
      </w:r>
      <w:r w:rsidR="00DA5035">
        <w:rPr>
          <w:rFonts w:ascii="Carme" w:eastAsia="Carme" w:hAnsi="Carme" w:cs="Carme"/>
          <w:sz w:val="20"/>
          <w:szCs w:val="20"/>
          <w:lang w:val="pt-PT"/>
        </w:rPr>
        <w:t>o Parlamentar Europeu 2019 - 202</w:t>
      </w:r>
      <w:r w:rsidRPr="00267D0C">
        <w:rPr>
          <w:rFonts w:ascii="Carme" w:eastAsia="Carme" w:hAnsi="Carme" w:cs="Carme"/>
          <w:sz w:val="20"/>
          <w:szCs w:val="20"/>
          <w:lang w:val="pt-PT"/>
        </w:rPr>
        <w:t>4, com o objectivo de aumentar</w:t>
      </w:r>
      <w:r w:rsidR="00267D0C">
        <w:rPr>
          <w:rFonts w:ascii="Carme" w:eastAsia="Carme" w:hAnsi="Carme" w:cs="Carme"/>
          <w:sz w:val="20"/>
          <w:szCs w:val="20"/>
          <w:lang w:val="pt-PT"/>
        </w:rPr>
        <w:t xml:space="preserve"> o número pessoas que andam de </w:t>
      </w:r>
      <w:r w:rsidRPr="00267D0C">
        <w:rPr>
          <w:rFonts w:ascii="Carme" w:eastAsia="Carme" w:hAnsi="Carme" w:cs="Carme"/>
          <w:sz w:val="20"/>
          <w:szCs w:val="20"/>
          <w:lang w:val="pt-PT"/>
        </w:rPr>
        <w:t xml:space="preserve">bicicleta, promover o cicloturismo e melhorar as condições viárias para os utilizadores de bicicleta, em termos de segurança, infraestrutura, acessibilidade e conveniência.” </w:t>
      </w:r>
    </w:p>
    <w:sectPr w:rsidR="00C57F5A" w:rsidRPr="00267D0C" w:rsidSect="0046060A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196" w:bottom="1134" w:left="1021" w:header="567" w:footer="283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C1" w:rsidRDefault="00282AC1">
      <w:r>
        <w:separator/>
      </w:r>
    </w:p>
  </w:endnote>
  <w:endnote w:type="continuationSeparator" w:id="0">
    <w:p w:rsidR="00282AC1" w:rsidRDefault="0028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m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5A" w:rsidRDefault="00436D9D">
    <w:pPr>
      <w:pBdr>
        <w:top w:val="nil"/>
        <w:left w:val="nil"/>
        <w:bottom w:val="nil"/>
        <w:right w:val="nil"/>
        <w:between w:val="nil"/>
      </w:pBdr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fldChar w:fldCharType="begin"/>
    </w:r>
    <w:r w:rsidRPr="0046060A">
      <w:rPr>
        <w:color w:val="808080"/>
        <w:sz w:val="16"/>
        <w:szCs w:val="16"/>
      </w:rPr>
      <w:instrText>PAGE</w:instrText>
    </w:r>
    <w:r>
      <w:rPr>
        <w:color w:val="808080"/>
        <w:sz w:val="16"/>
        <w:szCs w:val="16"/>
      </w:rPr>
      <w:fldChar w:fldCharType="end"/>
    </w:r>
  </w:p>
  <w:p w:rsidR="00C57F5A" w:rsidRDefault="00C57F5A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Carme" w:eastAsia="Carme" w:hAnsi="Carme" w:cs="Carme"/>
        <w:color w:val="038E9A"/>
        <w:sz w:val="20"/>
        <w:szCs w:val="20"/>
      </w:rPr>
    </w:pPr>
  </w:p>
  <w:p w:rsidR="00C57F5A" w:rsidRDefault="00C57F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5A" w:rsidRPr="0046060A" w:rsidRDefault="00436D9D" w:rsidP="0046060A">
    <w:pPr>
      <w:pBdr>
        <w:top w:val="nil"/>
        <w:left w:val="nil"/>
        <w:bottom w:val="nil"/>
        <w:right w:val="nil"/>
        <w:between w:val="nil"/>
      </w:pBdr>
      <w:spacing w:after="120"/>
      <w:jc w:val="right"/>
      <w:rPr>
        <w:rFonts w:ascii="Carme" w:eastAsia="Carme" w:hAnsi="Carme" w:cs="Carme"/>
        <w:color w:val="038E9A"/>
        <w:sz w:val="20"/>
        <w:szCs w:val="20"/>
      </w:rPr>
    </w:pPr>
    <w:r>
      <w:rPr>
        <w:rFonts w:ascii="Carme" w:eastAsia="Carme" w:hAnsi="Carme" w:cs="Carme"/>
        <w:color w:val="038E9A"/>
        <w:sz w:val="20"/>
        <w:szCs w:val="20"/>
      </w:rPr>
      <w:fldChar w:fldCharType="begin"/>
    </w:r>
    <w:r w:rsidRPr="0046060A">
      <w:rPr>
        <w:rFonts w:ascii="Carme" w:eastAsia="Carme" w:hAnsi="Carme" w:cs="Carme"/>
        <w:color w:val="038E9A"/>
        <w:sz w:val="20"/>
        <w:szCs w:val="20"/>
      </w:rPr>
      <w:instrText>PAGE</w:instrText>
    </w:r>
    <w:r>
      <w:rPr>
        <w:rFonts w:ascii="Carme" w:eastAsia="Carme" w:hAnsi="Carme" w:cs="Carme"/>
        <w:color w:val="038E9A"/>
        <w:sz w:val="20"/>
        <w:szCs w:val="20"/>
      </w:rPr>
      <w:fldChar w:fldCharType="separate"/>
    </w:r>
    <w:r w:rsidR="00290B8D">
      <w:rPr>
        <w:rFonts w:ascii="Carme" w:eastAsia="Carme" w:hAnsi="Carme" w:cs="Carme"/>
        <w:noProof/>
        <w:color w:val="038E9A"/>
        <w:sz w:val="20"/>
        <w:szCs w:val="20"/>
      </w:rPr>
      <w:t>3</w:t>
    </w:r>
    <w:r>
      <w:rPr>
        <w:rFonts w:ascii="Carme" w:eastAsia="Carme" w:hAnsi="Carme" w:cs="Carme"/>
        <w:color w:val="038E9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0A" w:rsidRPr="0046060A" w:rsidRDefault="0046060A" w:rsidP="0046060A">
    <w:pPr>
      <w:pBdr>
        <w:top w:val="nil"/>
        <w:left w:val="nil"/>
        <w:bottom w:val="nil"/>
        <w:right w:val="nil"/>
        <w:between w:val="nil"/>
      </w:pBdr>
      <w:spacing w:after="120"/>
      <w:jc w:val="right"/>
      <w:rPr>
        <w:rFonts w:ascii="Carme" w:eastAsia="Carme" w:hAnsi="Carme" w:cs="Carme"/>
        <w:color w:val="038E9A"/>
        <w:sz w:val="20"/>
        <w:szCs w:val="20"/>
      </w:rPr>
    </w:pPr>
    <w:r>
      <w:rPr>
        <w:rFonts w:ascii="Carme" w:eastAsia="Carme" w:hAnsi="Carme" w:cs="Carme"/>
        <w:color w:val="038E9A"/>
        <w:sz w:val="20"/>
        <w:szCs w:val="20"/>
      </w:rPr>
      <w:fldChar w:fldCharType="begin"/>
    </w:r>
    <w:r w:rsidRPr="0046060A">
      <w:rPr>
        <w:rFonts w:ascii="Carme" w:eastAsia="Carme" w:hAnsi="Carme" w:cs="Carme"/>
        <w:color w:val="038E9A"/>
        <w:sz w:val="20"/>
        <w:szCs w:val="20"/>
      </w:rPr>
      <w:instrText>PAGE</w:instrText>
    </w:r>
    <w:r>
      <w:rPr>
        <w:rFonts w:ascii="Carme" w:eastAsia="Carme" w:hAnsi="Carme" w:cs="Carme"/>
        <w:color w:val="038E9A"/>
        <w:sz w:val="20"/>
        <w:szCs w:val="20"/>
      </w:rPr>
      <w:fldChar w:fldCharType="separate"/>
    </w:r>
    <w:r w:rsidR="00290B8D">
      <w:rPr>
        <w:rFonts w:ascii="Carme" w:eastAsia="Carme" w:hAnsi="Carme" w:cs="Carme"/>
        <w:noProof/>
        <w:color w:val="038E9A"/>
        <w:sz w:val="20"/>
        <w:szCs w:val="20"/>
      </w:rPr>
      <w:t>1</w:t>
    </w:r>
    <w:r>
      <w:rPr>
        <w:rFonts w:ascii="Carme" w:eastAsia="Carme" w:hAnsi="Carme" w:cs="Carme"/>
        <w:color w:val="038E9A"/>
        <w:sz w:val="20"/>
        <w:szCs w:val="20"/>
      </w:rPr>
      <w:fldChar w:fldCharType="end"/>
    </w:r>
  </w:p>
  <w:p w:rsidR="0046060A" w:rsidRDefault="00460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C1" w:rsidRDefault="00282AC1">
      <w:r>
        <w:separator/>
      </w:r>
    </w:p>
  </w:footnote>
  <w:footnote w:type="continuationSeparator" w:id="0">
    <w:p w:rsidR="00282AC1" w:rsidRDefault="00282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5A" w:rsidRDefault="0046060A"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4829506</wp:posOffset>
          </wp:positionH>
          <wp:positionV relativeFrom="paragraph">
            <wp:posOffset>-128905</wp:posOffset>
          </wp:positionV>
          <wp:extent cx="1737360" cy="765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zul_legenda_baix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hidden="0" allowOverlap="1">
          <wp:simplePos x="0" y="0"/>
          <wp:positionH relativeFrom="column">
            <wp:posOffset>-178766</wp:posOffset>
          </wp:positionH>
          <wp:positionV relativeFrom="paragraph">
            <wp:posOffset>-66675</wp:posOffset>
          </wp:positionV>
          <wp:extent cx="1837690" cy="641350"/>
          <wp:effectExtent l="0" t="0" r="0" b="635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69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7F5A" w:rsidRDefault="00C57F5A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7F5A"/>
    <w:rsid w:val="00267D0C"/>
    <w:rsid w:val="00282AC1"/>
    <w:rsid w:val="00290B8D"/>
    <w:rsid w:val="00436D9D"/>
    <w:rsid w:val="0046060A"/>
    <w:rsid w:val="00B0178C"/>
    <w:rsid w:val="00C57F5A"/>
    <w:rsid w:val="00DA5035"/>
    <w:rsid w:val="00E7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20F4B0-9AB2-4973-B59B-0AEED4D3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333333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60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60A"/>
  </w:style>
  <w:style w:type="paragraph" w:styleId="Footer">
    <w:name w:val="footer"/>
    <w:basedOn w:val="Normal"/>
    <w:link w:val="FooterChar"/>
    <w:uiPriority w:val="99"/>
    <w:unhideWhenUsed/>
    <w:rsid w:val="00460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1266</Words>
  <Characters>7218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 Igreja</cp:lastModifiedBy>
  <cp:revision>6</cp:revision>
  <dcterms:created xsi:type="dcterms:W3CDTF">2019-03-06T00:27:00Z</dcterms:created>
  <dcterms:modified xsi:type="dcterms:W3CDTF">2019-04-17T02:07:00Z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